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EA" w:rsidRDefault="00C445EA">
      <w:pPr>
        <w:pStyle w:val="BodyText"/>
        <w:ind w:left="-284" w:right="-284"/>
        <w:rPr>
          <w:rFonts w:ascii="Katsoulidis" w:hAnsi="Katsoulidis" w:cs="Katsoulidis"/>
        </w:rPr>
      </w:pPr>
      <w:r>
        <w:rPr>
          <w:rFonts w:ascii="Katsoulidis" w:hAnsi="Katsoulidis" w:cs="Katsoulidis"/>
        </w:rPr>
        <w:t xml:space="preserve">ΕΘΝΙΚΟ ΚΑΙ ΚΑΠΟΔΙΣΤΡΙΑΚΟ ΠΑΝΕΠΙΣΤΗΜΙΟ ΑΘΗΝΩΝ </w:t>
      </w:r>
    </w:p>
    <w:p w:rsidR="00C445EA" w:rsidRDefault="00C445EA">
      <w:pPr>
        <w:pStyle w:val="BodyText"/>
        <w:ind w:left="-284" w:right="-284"/>
        <w:rPr>
          <w:rFonts w:ascii="Katsoulidis" w:hAnsi="Katsoulidis" w:cs="Katsoulidis"/>
        </w:rPr>
      </w:pPr>
      <w:r>
        <w:rPr>
          <w:rFonts w:ascii="Katsoulidis" w:hAnsi="Katsoulidis" w:cs="Katsoulidis"/>
        </w:rPr>
        <w:t xml:space="preserve">ΤΜΗΜΑ ΧΗΜΕΙΑΣ, </w:t>
      </w:r>
    </w:p>
    <w:p w:rsidR="00C445EA" w:rsidRDefault="00C445EA">
      <w:pPr>
        <w:pStyle w:val="BodyText"/>
        <w:ind w:left="-284" w:right="-284"/>
        <w:rPr>
          <w:rFonts w:ascii="Katsoulidis" w:hAnsi="Katsoulidis" w:cs="Katsoulidis"/>
        </w:rPr>
      </w:pPr>
      <w:r>
        <w:rPr>
          <w:rFonts w:ascii="Katsoulidis" w:hAnsi="Katsoulidis" w:cs="Katsoulidis"/>
        </w:rPr>
        <w:t>ΠΑΙΔΑΓΩΓΙΚΟ ΤΜΗΜΑ ΔΗΜΟΤΙΚΗΣ ΕΚΠΑΙΔΕΥΣΗΣ,</w:t>
      </w:r>
    </w:p>
    <w:p w:rsidR="00C445EA" w:rsidRDefault="00C445EA">
      <w:pPr>
        <w:pStyle w:val="BodyText"/>
        <w:ind w:left="-284" w:right="-284"/>
        <w:rPr>
          <w:rFonts w:ascii="Katsoulidis" w:hAnsi="Katsoulidis" w:cs="Katsoulidis"/>
        </w:rPr>
      </w:pPr>
      <w:r>
        <w:rPr>
          <w:rFonts w:ascii="Katsoulidis" w:hAnsi="Katsoulidis" w:cs="Katsoulidis"/>
          <w:lang w:val="en-US"/>
        </w:rPr>
        <w:t>TMHMA</w:t>
      </w:r>
      <w:r>
        <w:rPr>
          <w:rFonts w:ascii="Katsoulidis" w:hAnsi="Katsoulidis" w:cs="Katsoulidis"/>
        </w:rPr>
        <w:t xml:space="preserve"> ΙΣΤΟΡΙΑΣ ΚΑΙ ΦΙΛΟΣΟΦΙΑΣ ΤΗΣ ΕΠΙΣΤΗΜΗΣ</w:t>
      </w:r>
    </w:p>
    <w:p w:rsidR="00C445EA" w:rsidRDefault="00C445EA">
      <w:pPr>
        <w:pStyle w:val="BodyText"/>
        <w:ind w:left="-567"/>
        <w:rPr>
          <w:rFonts w:ascii="Katsoulidis" w:hAnsi="Katsoulidis" w:cs="Katsoulidis"/>
        </w:rPr>
      </w:pPr>
    </w:p>
    <w:p w:rsidR="00C445EA" w:rsidRDefault="00C445EA">
      <w:pPr>
        <w:pStyle w:val="BodyText"/>
        <w:ind w:left="-567"/>
        <w:rPr>
          <w:rFonts w:ascii="Katsoulidis" w:hAnsi="Katsoulidis" w:cs="Katsoulidis"/>
        </w:rPr>
      </w:pPr>
      <w:r>
        <w:rPr>
          <w:rFonts w:ascii="Katsoulidis" w:hAnsi="Katsoulidis" w:cs="Katsoulidis"/>
        </w:rPr>
        <w:t xml:space="preserve">ΑΡΙΣΤΟΤΕΛΕΙΟ ΠΑΝΕΠΙΣΤΗΜΙΟ ΘΕΣΣΑΛΟΝΙΚΗΣ, ΤΜΗΜΑ ΧΗΜΕΙΑΣ </w:t>
      </w:r>
    </w:p>
    <w:p w:rsidR="00C445EA" w:rsidRDefault="00C445EA">
      <w:pPr>
        <w:pStyle w:val="BodyText"/>
        <w:ind w:left="-567"/>
        <w:rPr>
          <w:rFonts w:ascii="Katsoulidis" w:hAnsi="Katsoulidis" w:cs="Katsoulidis"/>
        </w:rPr>
      </w:pPr>
    </w:p>
    <w:p w:rsidR="00C445EA" w:rsidRDefault="00C445EA">
      <w:pPr>
        <w:pStyle w:val="BodyText"/>
        <w:ind w:left="-567"/>
        <w:rPr>
          <w:rFonts w:ascii="Katsoulidis" w:hAnsi="Katsoulidis" w:cs="Katsoulidis"/>
        </w:rPr>
      </w:pPr>
      <w:r>
        <w:rPr>
          <w:rFonts w:ascii="Katsoulidis" w:hAnsi="Katsoulidis" w:cs="Katsoulidis"/>
        </w:rPr>
        <w:t>ΕΘΝΙΚΟ ΜΕΤΣΟΒΙΟ ΠΟΛΥΤΕΧΝΕΙΟ, ΣΧΟΛΗ ΧΗΜΙΚΩΝ ΜΗΧΑΝΙΚΩΝ</w:t>
      </w:r>
    </w:p>
    <w:p w:rsidR="00C445EA" w:rsidRDefault="00C445EA">
      <w:pPr>
        <w:pStyle w:val="BodyText"/>
        <w:rPr>
          <w:rFonts w:ascii="Katsoulidis" w:hAnsi="Katsoulidis" w:cs="Katsoulidis"/>
        </w:rPr>
      </w:pPr>
    </w:p>
    <w:p w:rsidR="00C445EA" w:rsidRDefault="00C445EA">
      <w:pPr>
        <w:pStyle w:val="BodyText"/>
        <w:rPr>
          <w:rFonts w:ascii="Katsoulidis" w:hAnsi="Katsoulidis" w:cs="Katsoulidis"/>
        </w:rPr>
      </w:pPr>
      <w:r>
        <w:rPr>
          <w:rFonts w:ascii="Katsoulidis" w:hAnsi="Katsoulidis" w:cs="Katsoulidis"/>
        </w:rPr>
        <w:t>ΔΙΙΔΡΥΜΑΤΙΚΟ ΠΡΟΓΡΑΜΜΑ ΜΕΤΑΠΤΥΧΙΑΚΩΝ ΣΠΟΥΔΩΝ</w:t>
      </w:r>
    </w:p>
    <w:p w:rsidR="00C445EA" w:rsidRDefault="00C445EA">
      <w:pPr>
        <w:jc w:val="center"/>
        <w:rPr>
          <w:rFonts w:ascii="Katsoulidis" w:hAnsi="Katsoulidis" w:cs="Katsoulidis"/>
          <w:b/>
          <w:bCs/>
          <w:sz w:val="24"/>
          <w:szCs w:val="24"/>
          <w:lang w:val="el-GR"/>
        </w:rPr>
      </w:pPr>
    </w:p>
    <w:p w:rsidR="00C445EA" w:rsidRDefault="00C445EA">
      <w:pPr>
        <w:jc w:val="center"/>
        <w:rPr>
          <w:rFonts w:ascii="Katsoulidis" w:hAnsi="Katsoulidis" w:cs="Katsoulidis"/>
          <w:b/>
          <w:bCs/>
          <w:sz w:val="24"/>
          <w:szCs w:val="24"/>
          <w:lang w:val="el-GR"/>
        </w:rPr>
      </w:pPr>
      <w:r>
        <w:rPr>
          <w:rFonts w:ascii="Katsoulidis" w:hAnsi="Katsoulidis" w:cs="Katsoulidis"/>
          <w:b/>
          <w:bCs/>
          <w:sz w:val="24"/>
          <w:szCs w:val="24"/>
          <w:lang w:val="el-GR"/>
        </w:rPr>
        <w:t>«ΔΙΔΑΚΤΙΚΗ ΤΗΣ ΧΗΜΕΙΑΣ, ΝΕΕΣ ΕΚΠΑΙΔΕΥΤΙΚΕΣ ΤΕΧΝΟΛΟΓΙΕΣ ΚΑΙ ΕΚΠΑΙΔΕΥΣΗ ΓΙΑ ΤΗΝ ΑΕΙΦΟΡΟ ΑΝΑΠΤΥΞΗ» (ΔιΧηΝΕΤ-ΕΑΑ)</w:t>
      </w:r>
    </w:p>
    <w:p w:rsidR="00C445EA" w:rsidRDefault="00C445EA">
      <w:pPr>
        <w:jc w:val="center"/>
        <w:rPr>
          <w:rFonts w:ascii="Katsoulidis" w:hAnsi="Katsoulidis" w:cs="Katsoulidis"/>
          <w:b/>
          <w:bCs/>
          <w:sz w:val="24"/>
          <w:szCs w:val="24"/>
          <w:lang w:val="el-GR"/>
        </w:rPr>
      </w:pPr>
    </w:p>
    <w:p w:rsidR="00C445EA" w:rsidRDefault="00C445EA">
      <w:pPr>
        <w:jc w:val="both"/>
        <w:rPr>
          <w:rFonts w:ascii="Katsoulidis" w:hAnsi="Katsoulidis" w:cs="Katsoulidis"/>
          <w:b/>
          <w:bCs/>
          <w:sz w:val="24"/>
          <w:szCs w:val="24"/>
          <w:lang w:val="el-GR"/>
        </w:rPr>
      </w:pPr>
    </w:p>
    <w:p w:rsidR="00C445EA" w:rsidRDefault="00C445EA">
      <w:pPr>
        <w:jc w:val="center"/>
        <w:rPr>
          <w:rFonts w:ascii="Katsoulidis" w:hAnsi="Katsoulidis" w:cs="Katsoulidis"/>
          <w:b/>
          <w:bCs/>
          <w:sz w:val="24"/>
          <w:szCs w:val="24"/>
          <w:lang w:val="el-GR"/>
        </w:rPr>
      </w:pPr>
      <w:r>
        <w:rPr>
          <w:rFonts w:ascii="Katsoulidis" w:hAnsi="Katsoulidis" w:cs="Katsoulidis"/>
          <w:b/>
          <w:bCs/>
          <w:sz w:val="24"/>
          <w:szCs w:val="24"/>
          <w:lang w:val="el-GR"/>
        </w:rPr>
        <w:t>ΠΡΟΣΚΛΗΣΗ ΕΚΔΗΛΩΣΗΣ ΕΝΔΙΑΦΕΡΟΝΤΟΣ</w:t>
      </w:r>
    </w:p>
    <w:p w:rsidR="00C445EA" w:rsidRDefault="00C445EA">
      <w:pPr>
        <w:jc w:val="both"/>
        <w:rPr>
          <w:rFonts w:ascii="Katsoulidis" w:hAnsi="Katsoulidis" w:cs="Katsoulidis"/>
          <w:sz w:val="24"/>
          <w:szCs w:val="24"/>
          <w:lang w:val="el-GR"/>
        </w:rPr>
      </w:pPr>
    </w:p>
    <w:p w:rsidR="00C445EA" w:rsidRDefault="00C445EA">
      <w:pPr>
        <w:pStyle w:val="Indent1"/>
        <w:keepNext/>
        <w:shd w:val="clear" w:color="auto" w:fill="FFFFFF"/>
        <w:ind w:left="0" w:firstLine="426"/>
        <w:rPr>
          <w:rFonts w:ascii="Katsoulidis" w:hAnsi="Katsoulidis" w:cs="Katsoulidis"/>
          <w:sz w:val="24"/>
          <w:szCs w:val="24"/>
        </w:rPr>
      </w:pPr>
      <w:r>
        <w:rPr>
          <w:rFonts w:ascii="Katsoulidis" w:hAnsi="Katsoulidis" w:cs="Katsoulidis"/>
          <w:sz w:val="24"/>
          <w:szCs w:val="24"/>
        </w:rPr>
        <w:t xml:space="preserve">1. Το Τμήμα Χημείας, το Παιδαγωγικό Τμήμα Δημοτικής Εκπαίδευσης, το Τμήμα Ιστορίας και Φιλοσοφίας της Επιστήμης  του Εθνικού και Καποδιστριακού Πανεπιστημίου Αθηνών (ΕΚΠΑ), το Τμήμα Χημείας του Αριστοτέλειου Πανεπιστημίου Θεσσαλονίκης (ΑΠΘ) και η Σχολή Χημικών Μηχανικών του Εθνικού Μετσόβιου Πολυτεχνείου (ΕΜΠ), με τη διοικητική υποστήριξη του Τμήματος Χημείας του Εθνικού και Καποδιστριακού Πανεπιστημίου Αθηνών, έχουν οργανώσει και λειτουργούν Διιδρυματικό Πρόγραμμα Μεταπτυχιακών Σπουδών (ΔΠΜΣ) στο αντικείμενο «Διδακτική της Χημείας,  Νέες Εκπαιδευτικές Τεχνολογίες και Εκπαίδευση για την αειφόρο ανάπτυξη» (ΔιΧηΝΕΤ-ΕΑΑ). </w:t>
      </w:r>
    </w:p>
    <w:p w:rsidR="00C445EA" w:rsidRDefault="00C445EA">
      <w:pPr>
        <w:pStyle w:val="Indent1"/>
        <w:ind w:left="0" w:firstLine="0"/>
        <w:rPr>
          <w:rFonts w:ascii="Katsoulidis" w:hAnsi="Katsoulidis" w:cs="Katsoulidis"/>
          <w:sz w:val="24"/>
          <w:szCs w:val="24"/>
        </w:rPr>
      </w:pPr>
      <w:r>
        <w:rPr>
          <w:rFonts w:ascii="Katsoulidis" w:hAnsi="Katsoulidis" w:cs="Katsoulidis"/>
          <w:sz w:val="24"/>
          <w:szCs w:val="24"/>
        </w:rPr>
        <w:t xml:space="preserve">Η προκήρυξη αυτή αφορά στην εισαγωγή σπουδαστών του Προγράμματος το Ακαδημαϊκό έτος 2018-2019. </w:t>
      </w:r>
    </w:p>
    <w:p w:rsidR="00C445EA" w:rsidRDefault="00C445EA">
      <w:pPr>
        <w:pStyle w:val="Indent1"/>
        <w:keepNext/>
        <w:shd w:val="clear" w:color="auto" w:fill="FFFFFF"/>
        <w:ind w:left="0" w:firstLine="0"/>
        <w:rPr>
          <w:rFonts w:ascii="Katsoulidis" w:hAnsi="Katsoulidis" w:cs="Katsoulidis"/>
          <w:sz w:val="24"/>
          <w:szCs w:val="24"/>
        </w:rPr>
      </w:pPr>
      <w:r>
        <w:rPr>
          <w:rFonts w:ascii="Katsoulidis" w:hAnsi="Katsoulidis" w:cs="Katsoulidis"/>
          <w:sz w:val="24"/>
          <w:szCs w:val="24"/>
        </w:rPr>
        <w:t xml:space="preserve">Η έναρξη των μαθημάτων θα γίνει τον Οκτώβριο του 2018. Το ΔΠΜΣ διοικείται από Ειδική Διατμηματική Επιτροπή (ΕΔΕ) στην οποία συμμετέχουν εκπρόσωποι των συνεργαζομένων τμημάτων. </w:t>
      </w:r>
    </w:p>
    <w:p w:rsidR="00C445EA" w:rsidRDefault="00C445EA">
      <w:pPr>
        <w:pStyle w:val="Title"/>
        <w:rPr>
          <w:rFonts w:ascii="Katsoulidis" w:hAnsi="Katsoulidis" w:cs="Katsoulidis"/>
          <w:sz w:val="24"/>
          <w:szCs w:val="24"/>
        </w:rPr>
      </w:pPr>
      <w:r>
        <w:rPr>
          <w:rFonts w:ascii="Katsoulidis" w:hAnsi="Katsoulidis" w:cs="Katsoulidis"/>
          <w:sz w:val="24"/>
          <w:szCs w:val="24"/>
        </w:rPr>
        <w:t>2. Οι μεταπτυχιακές σπουδές οδηγούν στη λήψη Διπλώματος Μεταπτυχιακών Σπουδών (ΔΜΣ) και στη συνέχεια, δίνεται η δυνατότητα στους κατόχους ΔΜΣ να συνεχίσουν τις σπουδές τους για την απόκτηση Διδακτορικού Διπλώματος (ΔΔ) σε ένα από τα συμμετέχοντα Τμήματα.</w:t>
      </w:r>
    </w:p>
    <w:p w:rsidR="00C445EA" w:rsidRDefault="00C445EA">
      <w:pPr>
        <w:pStyle w:val="Title"/>
        <w:rPr>
          <w:rFonts w:ascii="Katsoulidis" w:hAnsi="Katsoulidis" w:cs="Katsoulidis"/>
          <w:sz w:val="24"/>
          <w:szCs w:val="24"/>
        </w:rPr>
      </w:pPr>
      <w:r>
        <w:rPr>
          <w:rFonts w:ascii="Katsoulidis" w:hAnsi="Katsoulidis" w:cs="Katsoulidis"/>
          <w:sz w:val="24"/>
          <w:szCs w:val="24"/>
        </w:rPr>
        <w:t xml:space="preserve">3. Για την απόκτηση του ΔΜΣ απαιτείται η παρακολούθηση και επιτυχής εξέταση σε ορισμένο αριθμό μαθημάτων και η εκπόνηση μεταπτυχιακής εργασίας. </w:t>
      </w:r>
    </w:p>
    <w:p w:rsidR="00C445EA" w:rsidRDefault="00C445EA">
      <w:pPr>
        <w:pStyle w:val="Title"/>
        <w:rPr>
          <w:rFonts w:ascii="Katsoulidis" w:hAnsi="Katsoulidis" w:cs="Katsoulidis"/>
          <w:sz w:val="24"/>
          <w:szCs w:val="24"/>
        </w:rPr>
      </w:pPr>
      <w:r>
        <w:rPr>
          <w:rFonts w:ascii="Katsoulidis" w:hAnsi="Katsoulidis" w:cs="Katsoulidis"/>
          <w:sz w:val="24"/>
          <w:szCs w:val="24"/>
        </w:rPr>
        <w:t>4. Στο ΔΠΜΣ «Διδακτική της Χημείας, Νέες Εκπαιδευτικές Τεχνολογίες και Εκπαίδευση για την αειφόρο ανάπτυξη» (ΔιΧηΝΕΤ-ΕΑΑ). γίνονται δεκτές αιτήσεις υποψηφιότητας αποφοίτων ή τελειοφοίτων (εφόσον αποφοιτήσουν μέχρι το Σεπτέμβριο του 2018) των Τμημάτων Χημείας, Φυσικής, Βιολογίας, Γεωλογίας, Πληροφορικής και της Σχολής Χημικών Μηχανικών ή συναφών Τμημάτων ή ομοταγών ιδρυμάτων της αλλοδαπής, αναγνωρισμένων από το ΔΟΑΤΑΠ.</w:t>
      </w:r>
    </w:p>
    <w:p w:rsidR="00C445EA" w:rsidRDefault="00C445EA">
      <w:pPr>
        <w:pStyle w:val="Title"/>
        <w:rPr>
          <w:rFonts w:ascii="Katsoulidis" w:hAnsi="Katsoulidis" w:cs="Katsoulidis"/>
          <w:sz w:val="24"/>
          <w:szCs w:val="24"/>
        </w:rPr>
      </w:pPr>
      <w:r>
        <w:rPr>
          <w:rFonts w:ascii="Katsoulidis" w:hAnsi="Katsoulidis" w:cs="Katsoulidis"/>
          <w:sz w:val="24"/>
          <w:szCs w:val="24"/>
        </w:rPr>
        <w:t xml:space="preserve">5. Για την επιλογή των μεταπτυχιακών σπουδαστών θα ληφθούν υπόψη ο γενικός βαθμός πτυχίου, η επίδοση σε προπτυχιακά μαθήματα σχετικά με το γνωστικό αντικείμενο της ειδίκευσης του ΔΜΣ,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 η καλή γνώση μιας ξένης γλώσσας ή της ελληνικής γλώσσας στην περίπτωση που είναι αλλοδαπός, οι δημοσιεύσεις ή ανακοινώσεις επιστημονικών εργασιών, η πιθανή συναφής  ερευνητική ή επαγγελματική δραστηριότητα, η προσωπικότητα που εκτιμάται από συνέντευξη στα μέλη της Τριμελούς Επιτροπής και Εξέτασης η οποία συγκροτείται με απόφαση ΕΔΕ, ο τυχόν υπάρχων άλλος μεταπτυχιακός τίτλος σπουδών, η τυχόν υπάρχουσα διδακτορική διατριβή, η πρώτη προτιμώμενη ειδίκευση στην αίτηση. Τέλος, οι υποψήφιοι θα πρέπει να πληρούν ορισμένες προϋποθέσεις γνωστικού υπόβαθρου, για τη συμπλήρωση του οποίου μπορεί να απαιτηθεί η παρακολούθηση μαθημάτων προπτυχιακού προγράμματος, μέγιστης διάρκειας ενός έτους. </w:t>
      </w:r>
    </w:p>
    <w:p w:rsidR="00C445EA" w:rsidRDefault="00C445EA">
      <w:pPr>
        <w:pStyle w:val="Title"/>
        <w:rPr>
          <w:rFonts w:ascii="Katsoulidis" w:hAnsi="Katsoulidis" w:cs="Katsoulidis"/>
          <w:sz w:val="24"/>
          <w:szCs w:val="24"/>
        </w:rPr>
      </w:pPr>
      <w:r>
        <w:rPr>
          <w:rFonts w:ascii="Katsoulidis" w:hAnsi="Katsoulidis" w:cs="Katsoulidis"/>
          <w:sz w:val="24"/>
          <w:szCs w:val="24"/>
        </w:rPr>
        <w:t>6. Για το ακαδημαϊκό έτος 2018-2019 ο αριθμός εισακτέων ανά κατεύθυνση ορίζεται ως εξής:</w:t>
      </w:r>
    </w:p>
    <w:p w:rsidR="00C445EA" w:rsidRDefault="00C445EA">
      <w:pPr>
        <w:pStyle w:val="Title"/>
        <w:numPr>
          <w:ilvl w:val="0"/>
          <w:numId w:val="1"/>
        </w:numPr>
        <w:rPr>
          <w:rFonts w:ascii="Katsoulidis" w:hAnsi="Katsoulidis" w:cs="Katsoulidis"/>
          <w:sz w:val="24"/>
          <w:szCs w:val="24"/>
        </w:rPr>
      </w:pPr>
      <w:r>
        <w:rPr>
          <w:rFonts w:ascii="Katsoulidis" w:hAnsi="Katsoulidis" w:cs="Katsoulidis"/>
          <w:sz w:val="24"/>
          <w:szCs w:val="24"/>
        </w:rPr>
        <w:t xml:space="preserve">Οκτώ (8) στην κατεύθυνση «Διδακτική της Χημείας» </w:t>
      </w:r>
    </w:p>
    <w:p w:rsidR="00C445EA" w:rsidRDefault="00C445EA">
      <w:pPr>
        <w:pStyle w:val="Title"/>
        <w:numPr>
          <w:ilvl w:val="0"/>
          <w:numId w:val="1"/>
        </w:numPr>
        <w:rPr>
          <w:rFonts w:ascii="Katsoulidis" w:hAnsi="Katsoulidis" w:cs="Katsoulidis"/>
          <w:sz w:val="24"/>
          <w:szCs w:val="24"/>
        </w:rPr>
      </w:pPr>
      <w:r>
        <w:rPr>
          <w:rFonts w:ascii="Katsoulidis" w:hAnsi="Katsoulidis" w:cs="Katsoulidis"/>
          <w:sz w:val="24"/>
          <w:szCs w:val="24"/>
        </w:rPr>
        <w:t xml:space="preserve">Έξι (6) στην κατεύθυνση «Νέες Εκπαιδευτικές Τεχνολογίες»   </w:t>
      </w:r>
    </w:p>
    <w:p w:rsidR="00C445EA" w:rsidRDefault="00C445EA">
      <w:pPr>
        <w:pStyle w:val="Title"/>
        <w:numPr>
          <w:ilvl w:val="0"/>
          <w:numId w:val="1"/>
        </w:numPr>
        <w:rPr>
          <w:rFonts w:ascii="Katsoulidis" w:hAnsi="Katsoulidis" w:cs="Katsoulidis"/>
          <w:sz w:val="24"/>
          <w:szCs w:val="24"/>
        </w:rPr>
      </w:pPr>
      <w:r>
        <w:rPr>
          <w:rFonts w:ascii="Katsoulidis" w:hAnsi="Katsoulidis" w:cs="Katsoulidis"/>
          <w:sz w:val="24"/>
          <w:szCs w:val="24"/>
        </w:rPr>
        <w:t xml:space="preserve">Έξι (6) στην κατεύθυνση «Εκπαίδευση για την Αειφόρο Ανάπτυξη»  που λειτουργούν στο Τμήμα Χημείας του ΕΚΠΑ </w:t>
      </w:r>
    </w:p>
    <w:p w:rsidR="00C445EA" w:rsidRDefault="00C445EA">
      <w:pPr>
        <w:pStyle w:val="Title"/>
        <w:rPr>
          <w:rFonts w:ascii="Katsoulidis" w:hAnsi="Katsoulidis" w:cs="Katsoulidis"/>
          <w:sz w:val="24"/>
          <w:szCs w:val="24"/>
        </w:rPr>
      </w:pPr>
      <w:r>
        <w:rPr>
          <w:rFonts w:ascii="Katsoulidis" w:hAnsi="Katsoulidis" w:cs="Katsoulidis"/>
          <w:sz w:val="24"/>
          <w:szCs w:val="24"/>
        </w:rPr>
        <w:t xml:space="preserve">7. Η υποβολή των δικαιολογητικών ολοκληρώνεται την </w:t>
      </w:r>
      <w:r>
        <w:rPr>
          <w:rFonts w:ascii="Katsoulidis" w:hAnsi="Katsoulidis" w:cs="Katsoulidis"/>
          <w:b/>
          <w:bCs/>
          <w:sz w:val="24"/>
          <w:szCs w:val="24"/>
        </w:rPr>
        <w:t>Παρασκευή 14</w:t>
      </w:r>
      <w:r>
        <w:rPr>
          <w:rFonts w:ascii="Katsoulidis" w:hAnsi="Katsoulidis" w:cs="Katsoulidis"/>
          <w:b/>
          <w:bCs/>
          <w:sz w:val="24"/>
          <w:szCs w:val="24"/>
          <w:vertAlign w:val="superscript"/>
        </w:rPr>
        <w:t xml:space="preserve"> </w:t>
      </w:r>
      <w:r>
        <w:rPr>
          <w:rFonts w:ascii="Katsoulidis" w:hAnsi="Katsoulidis" w:cs="Katsoulidis"/>
          <w:b/>
          <w:bCs/>
          <w:sz w:val="24"/>
          <w:szCs w:val="24"/>
        </w:rPr>
        <w:t>Σεπτεμβρίου 2018</w:t>
      </w:r>
      <w:r>
        <w:rPr>
          <w:rFonts w:ascii="Katsoulidis" w:hAnsi="Katsoulidis" w:cs="Katsoulidis"/>
          <w:sz w:val="24"/>
          <w:szCs w:val="24"/>
        </w:rPr>
        <w:t>. Η επιλογή θα γίνει το Σεπτέμβριο. Τα δικαιολογητικά που απαιτούνται είναι:</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α) </w:t>
      </w:r>
      <w:r>
        <w:rPr>
          <w:rFonts w:ascii="Katsoulidis" w:hAnsi="Katsoulidis" w:cs="Katsoulidis"/>
          <w:sz w:val="24"/>
          <w:szCs w:val="24"/>
        </w:rPr>
        <w:tab/>
        <w:t>Αίτηση σε ειδικό έντυπο, χορηγούμενο από τη Γραμματεία και διαθέσιμο στην ιστοσελίδα του ΔΠΜΣ.</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β) </w:t>
      </w:r>
      <w:r>
        <w:rPr>
          <w:rFonts w:ascii="Katsoulidis" w:hAnsi="Katsoulidis" w:cs="Katsoulidis"/>
          <w:sz w:val="24"/>
          <w:szCs w:val="24"/>
        </w:rPr>
        <w:tab/>
        <w:t>Πλήρες βιογραφικό σημείωμα, το οποίο θα περιλαμβάνει οπωσδήποτε στοιχεία για τις σπουδές, την ερευνητική ή/και επαγγελματική δραστηριότητα και τις πιθανές επιστημονικές εργασίες του υποψηφίου.</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γ) </w:t>
      </w:r>
      <w:r>
        <w:rPr>
          <w:rFonts w:ascii="Katsoulidis" w:hAnsi="Katsoulidis" w:cs="Katsoulidis"/>
          <w:sz w:val="24"/>
          <w:szCs w:val="24"/>
        </w:rPr>
        <w:tab/>
        <w:t>Επικυρωμένο αντίγραφο πτυχίου, ή βεβαίωση περάτωσης σπουδών ή στοιχεία από τα οποία προκύπτει ότι αναμένεται η αποφοίτησή τους μέχρι το Σεπτέμβριο του 2018.</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δ) </w:t>
      </w:r>
      <w:r>
        <w:rPr>
          <w:rFonts w:ascii="Katsoulidis" w:hAnsi="Katsoulidis" w:cs="Katsoulidis"/>
          <w:sz w:val="24"/>
          <w:szCs w:val="24"/>
        </w:rPr>
        <w:tab/>
        <w:t>Πιστοποιητικό αναλυτικής βαθμολογίας.</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ε) </w:t>
      </w:r>
      <w:r>
        <w:rPr>
          <w:rFonts w:ascii="Katsoulidis" w:hAnsi="Katsoulidis" w:cs="Katsoulidis"/>
          <w:sz w:val="24"/>
          <w:szCs w:val="24"/>
        </w:rPr>
        <w:tab/>
        <w:t>Φωτοτυπία αστυνομικής ταυτότητας.</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στ)</w:t>
      </w:r>
      <w:r>
        <w:rPr>
          <w:rFonts w:ascii="Katsoulidis" w:hAnsi="Katsoulidis" w:cs="Katsoulidis"/>
          <w:sz w:val="24"/>
          <w:szCs w:val="24"/>
        </w:rPr>
        <w:tab/>
        <w:t>Μία φωτογραφία.</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ζ) </w:t>
      </w:r>
      <w:r>
        <w:rPr>
          <w:rFonts w:ascii="Katsoulidis" w:hAnsi="Katsoulidis" w:cs="Katsoulidis"/>
          <w:sz w:val="24"/>
          <w:szCs w:val="24"/>
        </w:rPr>
        <w:tab/>
        <w:t>Καλή γνώση τουλάχιστον μιας ευρωπαϊκής ξένης γλώσσας, όπως της αγγλικής, γαλλικής, γερμανικής, ισπανικής, ιταλικής ή ρώσικης με τα κριτήρια που καθορίζονται για την καλή γνώση των γλωσσών αυτών στα αντίστοιχα παραρτήματα προκηρύξεων του ΑΣΕΠ. Σε ειδικές περιπτώσεις είναι δυνατό η Τριμελής Επιτροπή Επιλογής και Εξέτασης να ελέγχει με εξέταση τις γνώσεις των υποψηφίων στη χημική ορολογία.</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η) </w:t>
      </w:r>
      <w:r>
        <w:rPr>
          <w:rFonts w:ascii="Katsoulidis" w:hAnsi="Katsoulidis" w:cs="Katsoulidis"/>
          <w:sz w:val="24"/>
          <w:szCs w:val="24"/>
        </w:rPr>
        <w:tab/>
        <w:t>Δύο συστατικές επιστολές.</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 xml:space="preserve">θ) </w:t>
      </w:r>
      <w:r>
        <w:rPr>
          <w:rFonts w:ascii="Katsoulidis" w:hAnsi="Katsoulidis" w:cs="Katsoulidis"/>
          <w:sz w:val="24"/>
          <w:szCs w:val="24"/>
        </w:rPr>
        <w:tab/>
        <w:t>Υπεύθυνη δήλωση του Νόμου 1599/1986 ότι μπο</w:t>
      </w:r>
      <w:r>
        <w:rPr>
          <w:rFonts w:ascii="Katsoulidis" w:hAnsi="Katsoulidis" w:cs="Katsoulidis"/>
          <w:sz w:val="24"/>
          <w:szCs w:val="24"/>
        </w:rPr>
        <w:softHyphen/>
        <w:t>ρούν να εκπληρώσουν στο ακέραιο τις εκπαιδευτικές τους υποχρεώσεις.</w:t>
      </w:r>
    </w:p>
    <w:p w:rsidR="00C445EA" w:rsidRDefault="00C445EA">
      <w:pPr>
        <w:pStyle w:val="Title"/>
        <w:ind w:left="426" w:hanging="426"/>
        <w:rPr>
          <w:rFonts w:ascii="Katsoulidis" w:hAnsi="Katsoulidis" w:cs="Katsoulidis"/>
          <w:sz w:val="24"/>
          <w:szCs w:val="24"/>
        </w:rPr>
      </w:pPr>
      <w:r>
        <w:rPr>
          <w:rFonts w:ascii="Katsoulidis" w:hAnsi="Katsoulidis" w:cs="Katsoulidis"/>
          <w:sz w:val="24"/>
          <w:szCs w:val="24"/>
        </w:rPr>
        <w:t>ι)</w:t>
      </w:r>
      <w:r>
        <w:rPr>
          <w:rFonts w:ascii="Katsoulidis" w:hAnsi="Katsoulidis" w:cs="Katsoulidis"/>
          <w:sz w:val="24"/>
          <w:szCs w:val="24"/>
        </w:rPr>
        <w:tab/>
        <w:t>Για τους φοιτητές από ιδρύματα της αλλοδαπής πιστοποιητικό αντιστοιχίας και ισοτιμίας πτυχίου από το ΔΟΑΤΑΠ, σύμφωνα με το αρ.34, παρ. 7 του Ν. 4485/17.</w:t>
      </w:r>
    </w:p>
    <w:p w:rsidR="00C445EA" w:rsidRDefault="00C445EA">
      <w:pPr>
        <w:pStyle w:val="Title"/>
        <w:rPr>
          <w:rFonts w:ascii="Katsoulidis" w:hAnsi="Katsoulidis" w:cs="Katsoulidis"/>
          <w:sz w:val="24"/>
          <w:szCs w:val="24"/>
        </w:rPr>
      </w:pPr>
      <w:r>
        <w:rPr>
          <w:rFonts w:ascii="Katsoulidis" w:hAnsi="Katsoulidis" w:cs="Katsoulidis"/>
          <w:sz w:val="24"/>
          <w:szCs w:val="24"/>
        </w:rPr>
        <w:t>Οι υποψήφιοι μπορούν να υποβάλουν τα δικαιολογητικά τους στη Γραμματεία του Τμήματος Χημείας του Εθνικού και Καποδιστριακού Πανεπιστημίου Αθηνών Πανεπιστημιόπολη, 157 84 Αθήνα, κατά τις ημέρες Δευτέρα, Τετάρτη και Παρασκευή 11.00-14.00.</w:t>
      </w:r>
    </w:p>
    <w:p w:rsidR="00C445EA" w:rsidRDefault="00C445EA">
      <w:pPr>
        <w:pStyle w:val="Title"/>
        <w:rPr>
          <w:rFonts w:ascii="Katsoulidis" w:hAnsi="Katsoulidis" w:cs="Katsoulidis"/>
          <w:sz w:val="24"/>
          <w:szCs w:val="24"/>
        </w:rPr>
      </w:pPr>
      <w:r>
        <w:rPr>
          <w:rFonts w:ascii="Katsoulidis" w:hAnsi="Katsoulidis" w:cs="Katsoulidis"/>
          <w:sz w:val="24"/>
          <w:szCs w:val="24"/>
        </w:rPr>
        <w:t>8. Για περισσότερες πληροφορίες απευθυνθείτε στα τηλέφωνα 210 7274098 και 210 7274483 ή επισκεφτείτε την ιστοσελίδα του ΠΜΣ (</w:t>
      </w:r>
      <w:r>
        <w:rPr>
          <w:rFonts w:ascii="Katsoulidis" w:hAnsi="Katsoulidis" w:cs="Katsoulidis"/>
          <w:sz w:val="24"/>
          <w:szCs w:val="24"/>
          <w:lang w:val="en-US"/>
        </w:rPr>
        <w:t>http</w:t>
      </w:r>
      <w:r>
        <w:rPr>
          <w:rFonts w:ascii="Katsoulidis" w:hAnsi="Katsoulidis" w:cs="Katsoulidis"/>
          <w:sz w:val="24"/>
          <w:szCs w:val="24"/>
        </w:rPr>
        <w:t>://</w:t>
      </w:r>
      <w:r>
        <w:rPr>
          <w:rFonts w:ascii="Katsoulidis" w:hAnsi="Katsoulidis" w:cs="Katsoulidis"/>
          <w:sz w:val="24"/>
          <w:szCs w:val="24"/>
          <w:lang w:val="en-US"/>
        </w:rPr>
        <w:t>www</w:t>
      </w:r>
      <w:r>
        <w:rPr>
          <w:rFonts w:ascii="Katsoulidis" w:hAnsi="Katsoulidis" w:cs="Katsoulidis"/>
          <w:sz w:val="24"/>
          <w:szCs w:val="24"/>
        </w:rPr>
        <w:t>.</w:t>
      </w:r>
      <w:r>
        <w:rPr>
          <w:rFonts w:ascii="Katsoulidis" w:hAnsi="Katsoulidis" w:cs="Katsoulidis"/>
          <w:sz w:val="24"/>
          <w:szCs w:val="24"/>
          <w:lang w:val="en-US"/>
        </w:rPr>
        <w:t>chem</w:t>
      </w:r>
      <w:r>
        <w:rPr>
          <w:rFonts w:ascii="Katsoulidis" w:hAnsi="Katsoulidis" w:cs="Katsoulidis"/>
          <w:sz w:val="24"/>
          <w:szCs w:val="24"/>
        </w:rPr>
        <w:t>.</w:t>
      </w:r>
      <w:r>
        <w:rPr>
          <w:rFonts w:ascii="Katsoulidis" w:hAnsi="Katsoulidis" w:cs="Katsoulidis"/>
          <w:sz w:val="24"/>
          <w:szCs w:val="24"/>
          <w:lang w:val="en-US"/>
        </w:rPr>
        <w:t>auth</w:t>
      </w:r>
      <w:r>
        <w:rPr>
          <w:rFonts w:ascii="Katsoulidis" w:hAnsi="Katsoulidis" w:cs="Katsoulidis"/>
          <w:sz w:val="24"/>
          <w:szCs w:val="24"/>
        </w:rPr>
        <w:t>.</w:t>
      </w:r>
      <w:r>
        <w:rPr>
          <w:rFonts w:ascii="Katsoulidis" w:hAnsi="Katsoulidis" w:cs="Katsoulidis"/>
          <w:sz w:val="24"/>
          <w:szCs w:val="24"/>
          <w:lang w:val="en-US"/>
        </w:rPr>
        <w:t>gr</w:t>
      </w:r>
      <w:r>
        <w:rPr>
          <w:rFonts w:ascii="Katsoulidis" w:hAnsi="Katsoulidis" w:cs="Katsoulidis"/>
          <w:sz w:val="24"/>
          <w:szCs w:val="24"/>
        </w:rPr>
        <w:t>/</w:t>
      </w:r>
      <w:r>
        <w:rPr>
          <w:rFonts w:ascii="Katsoulidis" w:hAnsi="Katsoulidis" w:cs="Katsoulidis"/>
          <w:sz w:val="24"/>
          <w:szCs w:val="24"/>
          <w:lang w:val="en-US"/>
        </w:rPr>
        <w:t>dixinet</w:t>
      </w:r>
      <w:r>
        <w:rPr>
          <w:rFonts w:ascii="Katsoulidis" w:hAnsi="Katsoulidis" w:cs="Katsoulidis"/>
          <w:sz w:val="24"/>
          <w:szCs w:val="24"/>
        </w:rPr>
        <w:t>/).</w:t>
      </w:r>
    </w:p>
    <w:p w:rsidR="00C445EA" w:rsidRDefault="00C445EA">
      <w:pPr>
        <w:rPr>
          <w:rFonts w:ascii="Katsoulidis" w:hAnsi="Katsoulidis" w:cs="Katsoulidis"/>
          <w:lang w:val="el-GR"/>
        </w:rPr>
      </w:pPr>
    </w:p>
    <w:p w:rsidR="00C445EA" w:rsidRDefault="00C445EA">
      <w:pPr>
        <w:rPr>
          <w:rFonts w:ascii="Katsoulidis" w:hAnsi="Katsoulidis" w:cs="Katsoulidis"/>
          <w:lang w:val="el-GR"/>
        </w:rPr>
      </w:pPr>
    </w:p>
    <w:p w:rsidR="00C445EA" w:rsidRDefault="00C445EA">
      <w:pPr>
        <w:overflowPunct/>
        <w:autoSpaceDE/>
        <w:autoSpaceDN/>
        <w:adjustRightInd/>
        <w:jc w:val="both"/>
        <w:textAlignment w:val="auto"/>
        <w:rPr>
          <w:rFonts w:ascii="Katsoulidis" w:hAnsi="Katsoulidis" w:cs="Katsoulidis"/>
          <w:sz w:val="24"/>
          <w:szCs w:val="24"/>
          <w:lang w:val="el-GR" w:eastAsia="el-GR"/>
        </w:rPr>
      </w:pPr>
      <w:r>
        <w:rPr>
          <w:rFonts w:ascii="Katsoulidis" w:hAnsi="Katsoulidis" w:cs="Katsoulidis"/>
          <w:sz w:val="24"/>
          <w:szCs w:val="24"/>
          <w:lang w:val="el-GR" w:eastAsia="el-GR"/>
        </w:rPr>
        <w:t>Αναμένεται η δημοσίευση της Προκήρυξης και του Κανονισμού στην Εφημερίδα της Κυβερνήσεως.</w:t>
      </w:r>
    </w:p>
    <w:p w:rsidR="00C445EA" w:rsidRDefault="00C445EA">
      <w:pPr>
        <w:overflowPunct/>
        <w:autoSpaceDE/>
        <w:autoSpaceDN/>
        <w:adjustRightInd/>
        <w:jc w:val="center"/>
        <w:textAlignment w:val="auto"/>
        <w:rPr>
          <w:rFonts w:ascii="Katsoulidis" w:hAnsi="Katsoulidis" w:cs="Katsoulidis"/>
          <w:b/>
          <w:bCs/>
          <w:sz w:val="24"/>
          <w:szCs w:val="24"/>
          <w:lang w:val="el-GR" w:eastAsia="el-GR"/>
        </w:rPr>
      </w:pPr>
    </w:p>
    <w:p w:rsidR="00C445EA" w:rsidRDefault="00C445EA">
      <w:pPr>
        <w:rPr>
          <w:rFonts w:ascii="Katsoulidis" w:hAnsi="Katsoulidis" w:cs="Katsoulidis"/>
          <w:lang w:val="el-GR"/>
        </w:rPr>
      </w:pPr>
    </w:p>
    <w:p w:rsidR="00C445EA" w:rsidRDefault="00C445EA">
      <w:pPr>
        <w:rPr>
          <w:rFonts w:ascii="Katsoulidis" w:hAnsi="Katsoulidis" w:cs="Katsoulidis"/>
          <w:lang w:val="el-GR"/>
        </w:rPr>
      </w:pPr>
    </w:p>
    <w:p w:rsidR="00C445EA" w:rsidRDefault="00C445EA">
      <w:pPr>
        <w:rPr>
          <w:rFonts w:ascii="Katsoulidis" w:hAnsi="Katsoulidis" w:cs="Katsoulidis"/>
          <w:lang w:val="el-GR"/>
        </w:rPr>
      </w:pPr>
    </w:p>
    <w:p w:rsidR="00C445EA" w:rsidRDefault="00C445EA">
      <w:pPr>
        <w:jc w:val="center"/>
        <w:rPr>
          <w:rFonts w:ascii="Katsoulidis" w:hAnsi="Katsoulidis" w:cs="Katsoulidis"/>
          <w:b/>
          <w:bCs/>
          <w:sz w:val="28"/>
          <w:szCs w:val="28"/>
          <w:lang w:val="el-GR" w:eastAsia="el-GR"/>
        </w:rPr>
      </w:pPr>
      <w:r>
        <w:rPr>
          <w:rFonts w:ascii="Katsoulidis" w:hAnsi="Katsoulidis" w:cs="Katsoulidis"/>
          <w:lang w:val="el-GR"/>
        </w:rPr>
        <w:tab/>
      </w:r>
      <w:r>
        <w:rPr>
          <w:rFonts w:ascii="Katsoulidis" w:hAnsi="Katsoulidis" w:cs="Katsoulidis"/>
          <w:b/>
          <w:bCs/>
          <w:sz w:val="28"/>
          <w:szCs w:val="28"/>
          <w:lang w:val="el-GR" w:eastAsia="el-GR"/>
        </w:rPr>
        <w:t>Η Πρόεδρος του Τμήματος Χημείας</w:t>
      </w:r>
    </w:p>
    <w:p w:rsidR="00C445EA" w:rsidRDefault="00C445EA">
      <w:pPr>
        <w:overflowPunct/>
        <w:autoSpaceDE/>
        <w:autoSpaceDN/>
        <w:adjustRightInd/>
        <w:jc w:val="center"/>
        <w:textAlignment w:val="auto"/>
        <w:rPr>
          <w:rFonts w:ascii="Katsoulidis" w:hAnsi="Katsoulidis" w:cs="Katsoulidis"/>
          <w:b/>
          <w:bCs/>
          <w:sz w:val="28"/>
          <w:szCs w:val="28"/>
          <w:lang w:val="el-GR" w:eastAsia="el-GR"/>
        </w:rPr>
      </w:pPr>
    </w:p>
    <w:p w:rsidR="00C445EA" w:rsidRDefault="00C445EA">
      <w:pPr>
        <w:overflowPunct/>
        <w:autoSpaceDE/>
        <w:autoSpaceDN/>
        <w:adjustRightInd/>
        <w:jc w:val="center"/>
        <w:textAlignment w:val="auto"/>
        <w:rPr>
          <w:rFonts w:ascii="Katsoulidis" w:hAnsi="Katsoulidis" w:cs="Katsoulidis"/>
          <w:b/>
          <w:bCs/>
          <w:sz w:val="28"/>
          <w:szCs w:val="28"/>
          <w:lang w:val="el-GR" w:eastAsia="el-GR"/>
        </w:rPr>
      </w:pPr>
      <w:r>
        <w:rPr>
          <w:rFonts w:ascii="Katsoulidis" w:hAnsi="Katsoulidis" w:cs="Katsoulidis"/>
          <w:b/>
          <w:bCs/>
          <w:sz w:val="28"/>
          <w:szCs w:val="28"/>
          <w:lang w:val="el-GR" w:eastAsia="el-GR"/>
        </w:rPr>
        <w:t xml:space="preserve">           *</w:t>
      </w:r>
    </w:p>
    <w:p w:rsidR="00C445EA" w:rsidRDefault="00C445EA">
      <w:pPr>
        <w:overflowPunct/>
        <w:autoSpaceDE/>
        <w:autoSpaceDN/>
        <w:adjustRightInd/>
        <w:jc w:val="center"/>
        <w:textAlignment w:val="auto"/>
        <w:rPr>
          <w:rFonts w:ascii="Katsoulidis" w:hAnsi="Katsoulidis" w:cs="Katsoulidis"/>
          <w:b/>
          <w:bCs/>
          <w:sz w:val="28"/>
          <w:szCs w:val="28"/>
          <w:lang w:val="el-GR" w:eastAsia="el-GR"/>
        </w:rPr>
      </w:pPr>
      <w:r>
        <w:rPr>
          <w:rFonts w:ascii="Katsoulidis" w:hAnsi="Katsoulidis" w:cs="Katsoulidis"/>
          <w:b/>
          <w:bCs/>
          <w:sz w:val="28"/>
          <w:szCs w:val="28"/>
          <w:lang w:val="el-GR" w:eastAsia="el-GR"/>
        </w:rPr>
        <w:t xml:space="preserve">               Χ. Α. Μητσοπούλου</w:t>
      </w:r>
    </w:p>
    <w:p w:rsidR="00C445EA" w:rsidRDefault="00C445EA">
      <w:pPr>
        <w:overflowPunct/>
        <w:autoSpaceDE/>
        <w:autoSpaceDN/>
        <w:adjustRightInd/>
        <w:jc w:val="center"/>
        <w:textAlignment w:val="auto"/>
        <w:rPr>
          <w:rFonts w:ascii="Katsoulidis" w:hAnsi="Katsoulidis" w:cs="Katsoulidis"/>
          <w:b/>
          <w:bCs/>
          <w:sz w:val="28"/>
          <w:szCs w:val="28"/>
          <w:lang w:val="el-GR" w:eastAsia="el-GR"/>
        </w:rPr>
      </w:pPr>
      <w:r>
        <w:rPr>
          <w:rFonts w:ascii="Katsoulidis" w:hAnsi="Katsoulidis" w:cs="Katsoulidis"/>
          <w:b/>
          <w:bCs/>
          <w:sz w:val="28"/>
          <w:szCs w:val="28"/>
          <w:lang w:val="el-GR" w:eastAsia="el-GR"/>
        </w:rPr>
        <w:t xml:space="preserve">                 Καθηγήτρια</w:t>
      </w:r>
      <w:bookmarkStart w:id="0" w:name="_GoBack"/>
      <w:bookmarkEnd w:id="0"/>
    </w:p>
    <w:p w:rsidR="00C445EA" w:rsidRDefault="00C445EA">
      <w:pPr>
        <w:overflowPunct/>
        <w:autoSpaceDE/>
        <w:autoSpaceDN/>
        <w:adjustRightInd/>
        <w:jc w:val="center"/>
        <w:textAlignment w:val="auto"/>
        <w:rPr>
          <w:rFonts w:ascii="Katsoulidis" w:hAnsi="Katsoulidis" w:cs="Katsoulidis"/>
          <w:b/>
          <w:bCs/>
          <w:sz w:val="28"/>
          <w:szCs w:val="28"/>
          <w:lang w:val="el-GR" w:eastAsia="el-GR"/>
        </w:rPr>
      </w:pPr>
    </w:p>
    <w:p w:rsidR="00C445EA" w:rsidRDefault="00C445EA">
      <w:pPr>
        <w:overflowPunct/>
        <w:autoSpaceDE/>
        <w:autoSpaceDN/>
        <w:adjustRightInd/>
        <w:textAlignment w:val="auto"/>
        <w:rPr>
          <w:rFonts w:ascii="Katsoulidis" w:hAnsi="Katsoulidis" w:cs="Katsoulidis"/>
          <w:sz w:val="22"/>
          <w:szCs w:val="22"/>
          <w:lang w:val="el-GR" w:eastAsia="el-GR"/>
        </w:rPr>
      </w:pPr>
      <w:r>
        <w:rPr>
          <w:rFonts w:ascii="Katsoulidis" w:hAnsi="Katsoulidis" w:cs="Katsoulidis"/>
          <w:sz w:val="22"/>
          <w:szCs w:val="22"/>
          <w:lang w:val="el-GR" w:eastAsia="el-GR"/>
        </w:rPr>
        <w:t>* Η υπογραφή έχει τεθεί στο πρωτότυπο του αρχείου.</w:t>
      </w:r>
    </w:p>
    <w:p w:rsidR="00C445EA" w:rsidRDefault="00C445EA">
      <w:pPr>
        <w:overflowPunct/>
        <w:autoSpaceDE/>
        <w:autoSpaceDN/>
        <w:adjustRightInd/>
        <w:jc w:val="center"/>
        <w:textAlignment w:val="auto"/>
        <w:rPr>
          <w:rFonts w:ascii="Katsoulidis" w:hAnsi="Katsoulidis" w:cs="Katsoulidis"/>
          <w:lang w:val="el-GR"/>
        </w:rPr>
      </w:pPr>
    </w:p>
    <w:sectPr w:rsidR="00C445EA" w:rsidSect="00C445EA">
      <w:pgSz w:w="11906" w:h="16838"/>
      <w:pgMar w:top="1440" w:right="1800"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7D9"/>
    <w:multiLevelType w:val="hybridMultilevel"/>
    <w:tmpl w:val="6C56AEB8"/>
    <w:lvl w:ilvl="0" w:tplc="04080001">
      <w:start w:val="1"/>
      <w:numFmt w:val="bullet"/>
      <w:lvlText w:val=""/>
      <w:lvlJc w:val="left"/>
      <w:pPr>
        <w:ind w:left="1200" w:hanging="360"/>
      </w:pPr>
      <w:rPr>
        <w:rFonts w:ascii="Symbol" w:hAnsi="Symbol" w:hint="default"/>
      </w:rPr>
    </w:lvl>
    <w:lvl w:ilvl="1" w:tplc="04080003">
      <w:start w:val="1"/>
      <w:numFmt w:val="bullet"/>
      <w:lvlText w:val="o"/>
      <w:lvlJc w:val="left"/>
      <w:pPr>
        <w:ind w:left="1920" w:hanging="360"/>
      </w:pPr>
      <w:rPr>
        <w:rFonts w:ascii="Courier New" w:hAnsi="Courier New" w:cs="Courier New" w:hint="default"/>
      </w:rPr>
    </w:lvl>
    <w:lvl w:ilvl="2" w:tplc="04080005">
      <w:start w:val="1"/>
      <w:numFmt w:val="bullet"/>
      <w:lvlText w:val=""/>
      <w:lvlJc w:val="left"/>
      <w:pPr>
        <w:ind w:left="2640" w:hanging="360"/>
      </w:pPr>
      <w:rPr>
        <w:rFonts w:ascii="Wingdings" w:hAnsi="Wingdings" w:cs="Wingdings" w:hint="default"/>
      </w:rPr>
    </w:lvl>
    <w:lvl w:ilvl="3" w:tplc="04080001">
      <w:start w:val="1"/>
      <w:numFmt w:val="bullet"/>
      <w:lvlText w:val=""/>
      <w:lvlJc w:val="left"/>
      <w:pPr>
        <w:ind w:left="3360" w:hanging="360"/>
      </w:pPr>
      <w:rPr>
        <w:rFonts w:ascii="Symbol" w:hAnsi="Symbol" w:cs="Symbol" w:hint="default"/>
      </w:rPr>
    </w:lvl>
    <w:lvl w:ilvl="4" w:tplc="04080003">
      <w:start w:val="1"/>
      <w:numFmt w:val="bullet"/>
      <w:lvlText w:val="o"/>
      <w:lvlJc w:val="left"/>
      <w:pPr>
        <w:ind w:left="4080" w:hanging="360"/>
      </w:pPr>
      <w:rPr>
        <w:rFonts w:ascii="Courier New" w:hAnsi="Courier New" w:cs="Courier New" w:hint="default"/>
      </w:rPr>
    </w:lvl>
    <w:lvl w:ilvl="5" w:tplc="04080005">
      <w:start w:val="1"/>
      <w:numFmt w:val="bullet"/>
      <w:lvlText w:val=""/>
      <w:lvlJc w:val="left"/>
      <w:pPr>
        <w:ind w:left="4800" w:hanging="360"/>
      </w:pPr>
      <w:rPr>
        <w:rFonts w:ascii="Wingdings" w:hAnsi="Wingdings" w:cs="Wingdings" w:hint="default"/>
      </w:rPr>
    </w:lvl>
    <w:lvl w:ilvl="6" w:tplc="04080001">
      <w:start w:val="1"/>
      <w:numFmt w:val="bullet"/>
      <w:lvlText w:val=""/>
      <w:lvlJc w:val="left"/>
      <w:pPr>
        <w:ind w:left="5520" w:hanging="360"/>
      </w:pPr>
      <w:rPr>
        <w:rFonts w:ascii="Symbol" w:hAnsi="Symbol" w:cs="Symbol" w:hint="default"/>
      </w:rPr>
    </w:lvl>
    <w:lvl w:ilvl="7" w:tplc="04080003">
      <w:start w:val="1"/>
      <w:numFmt w:val="bullet"/>
      <w:lvlText w:val="o"/>
      <w:lvlJc w:val="left"/>
      <w:pPr>
        <w:ind w:left="6240" w:hanging="360"/>
      </w:pPr>
      <w:rPr>
        <w:rFonts w:ascii="Courier New" w:hAnsi="Courier New" w:cs="Courier New" w:hint="default"/>
      </w:rPr>
    </w:lvl>
    <w:lvl w:ilvl="8" w:tplc="04080005">
      <w:start w:val="1"/>
      <w:numFmt w:val="bullet"/>
      <w:lvlText w:val=""/>
      <w:lvlJc w:val="left"/>
      <w:pPr>
        <w:ind w:left="69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EA"/>
    <w:rsid w:val="00C445E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overflowPunct/>
      <w:autoSpaceDE/>
      <w:autoSpaceDN/>
      <w:adjustRightInd/>
      <w:spacing w:line="360" w:lineRule="auto"/>
      <w:ind w:firstLine="426"/>
      <w:jc w:val="both"/>
      <w:textAlignment w:val="auto"/>
    </w:pPr>
    <w:rPr>
      <w:sz w:val="28"/>
      <w:szCs w:val="28"/>
      <w:lang w:val="el-GR"/>
    </w:rPr>
  </w:style>
  <w:style w:type="character" w:customStyle="1" w:styleId="TitleChar">
    <w:name w:val="Title Char"/>
    <w:basedOn w:val="DefaultParagraphFont"/>
    <w:link w:val="Title"/>
    <w:uiPriority w:val="99"/>
    <w:rPr>
      <w:rFonts w:ascii="Times New Roman" w:hAnsi="Times New Roman" w:cs="Times New Roman"/>
      <w:sz w:val="20"/>
      <w:szCs w:val="20"/>
    </w:rPr>
  </w:style>
  <w:style w:type="paragraph" w:customStyle="1" w:styleId="Indent1">
    <w:name w:val="Indent1"/>
    <w:basedOn w:val="Title"/>
    <w:uiPriority w:val="99"/>
    <w:pPr>
      <w:ind w:left="426" w:hanging="426"/>
    </w:pPr>
  </w:style>
  <w:style w:type="paragraph" w:styleId="BodyText">
    <w:name w:val="Body Text"/>
    <w:basedOn w:val="Normal"/>
    <w:link w:val="BodyTextChar"/>
    <w:uiPriority w:val="99"/>
    <w:pPr>
      <w:overflowPunct/>
      <w:autoSpaceDE/>
      <w:autoSpaceDN/>
      <w:adjustRightInd/>
      <w:jc w:val="center"/>
      <w:textAlignment w:val="auto"/>
    </w:pPr>
    <w:rPr>
      <w:b/>
      <w:bCs/>
      <w:sz w:val="24"/>
      <w:szCs w:val="24"/>
      <w:lang w:val="el-GR"/>
    </w:rPr>
  </w:style>
  <w:style w:type="character" w:customStyle="1" w:styleId="BodyTextChar">
    <w:name w:val="Body Text Char"/>
    <w:basedOn w:val="DefaultParagraphFont"/>
    <w:link w:val="BodyText"/>
    <w:uiPriority w:val="9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812</Words>
  <Characters>4634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 </dc:title>
  <dc:subject/>
  <dc:creator>EIRINI</dc:creator>
  <cp:keywords/>
  <dc:description/>
  <cp:lastModifiedBy>fotisd</cp:lastModifiedBy>
  <cp:revision>3</cp:revision>
  <dcterms:created xsi:type="dcterms:W3CDTF">2018-07-20T11:21:00Z</dcterms:created>
  <dcterms:modified xsi:type="dcterms:W3CDTF">2018-07-20T11:36:00Z</dcterms:modified>
</cp:coreProperties>
</file>